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0170" w14:textId="77777777" w:rsidR="008F6C97" w:rsidRPr="00373647" w:rsidRDefault="008F6C97" w:rsidP="00EC09EE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69823964"/>
      <w:r w:rsidRPr="00373647">
        <w:rPr>
          <w:rFonts w:ascii="Times New Roman" w:eastAsia="Calibri" w:hAnsi="Times New Roman" w:cs="Times New Roman"/>
          <w:b/>
          <w:sz w:val="28"/>
          <w:szCs w:val="28"/>
        </w:rPr>
        <w:t>Global Liberal Arts Alliance</w:t>
      </w:r>
    </w:p>
    <w:p w14:paraId="5B44E873" w14:textId="37A9F5B4" w:rsidR="00BE2893" w:rsidRDefault="008147B8" w:rsidP="00EC09EE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647">
        <w:rPr>
          <w:rFonts w:ascii="Times New Roman" w:eastAsia="Calibri" w:hAnsi="Times New Roman" w:cs="Times New Roman"/>
          <w:b/>
          <w:sz w:val="28"/>
          <w:szCs w:val="28"/>
        </w:rPr>
        <w:t xml:space="preserve">Global </w:t>
      </w:r>
      <w:r w:rsidR="00257EE6" w:rsidRPr="00373647">
        <w:rPr>
          <w:rFonts w:ascii="Times New Roman" w:eastAsia="Calibri" w:hAnsi="Times New Roman" w:cs="Times New Roman"/>
          <w:b/>
          <w:sz w:val="28"/>
          <w:szCs w:val="28"/>
        </w:rPr>
        <w:t xml:space="preserve">Learning </w:t>
      </w:r>
      <w:r w:rsidRPr="00373647">
        <w:rPr>
          <w:rFonts w:ascii="Times New Roman" w:eastAsia="Calibri" w:hAnsi="Times New Roman" w:cs="Times New Roman"/>
          <w:b/>
          <w:sz w:val="28"/>
          <w:szCs w:val="28"/>
        </w:rPr>
        <w:t>Course Proposal</w:t>
      </w:r>
    </w:p>
    <w:p w14:paraId="5C5AB332" w14:textId="77777777" w:rsidR="00EC09EE" w:rsidRDefault="00EC09EE" w:rsidP="00EC09E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3D44F" w14:textId="102103FF" w:rsidR="00EC09EE" w:rsidRPr="00EC09EE" w:rsidRDefault="00EC09EE" w:rsidP="00EC09EE">
      <w:pPr>
        <w:widowControl w:val="0"/>
        <w:spacing w:after="120" w:line="240" w:lineRule="auto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  <w:r w:rsidRPr="005D49F7">
        <w:rPr>
          <w:rFonts w:ascii="Times New Roman" w:hAnsi="Times New Roman" w:cs="Times New Roman"/>
          <w:sz w:val="24"/>
          <w:szCs w:val="24"/>
        </w:rPr>
        <w:t xml:space="preserve">Complete this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r w:rsidRPr="005D49F7">
        <w:rPr>
          <w:rFonts w:ascii="Times New Roman" w:hAnsi="Times New Roman" w:cs="Times New Roman"/>
          <w:sz w:val="24"/>
          <w:szCs w:val="24"/>
        </w:rPr>
        <w:t xml:space="preserve">form and send it </w:t>
      </w:r>
      <w:r w:rsidRPr="005D49F7">
        <w:rPr>
          <w:rFonts w:ascii="Times New Roman" w:eastAsia="Calibri" w:hAnsi="Times New Roman" w:cs="Times New Roman"/>
          <w:sz w:val="24"/>
          <w:szCs w:val="24"/>
        </w:rPr>
        <w:t xml:space="preserve">to Simon Gray </w:t>
      </w:r>
      <w:hyperlink r:id="rId5" w:history="1">
        <w:r w:rsidRPr="005D49F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gray@glca.org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690"/>
        <w:gridCol w:w="3348"/>
      </w:tblGrid>
      <w:tr w:rsidR="004B2C4B" w:rsidRPr="00373647" w14:paraId="4957FF22" w14:textId="77777777" w:rsidTr="004B2C4B">
        <w:tc>
          <w:tcPr>
            <w:tcW w:w="2538" w:type="dxa"/>
          </w:tcPr>
          <w:p w14:paraId="7D96578B" w14:textId="77777777" w:rsidR="004B2C4B" w:rsidRPr="00373647" w:rsidRDefault="004B2C4B" w:rsidP="00663BCF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BA9728D" w14:textId="77777777" w:rsidR="004B2C4B" w:rsidRPr="00373647" w:rsidRDefault="004B2C4B" w:rsidP="00663BCF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Instructor 1</w:t>
            </w:r>
          </w:p>
        </w:tc>
        <w:tc>
          <w:tcPr>
            <w:tcW w:w="3348" w:type="dxa"/>
          </w:tcPr>
          <w:p w14:paraId="7E9C32DB" w14:textId="77777777" w:rsidR="004B2C4B" w:rsidRPr="00373647" w:rsidRDefault="004B2C4B" w:rsidP="00663BCF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Instructor 2</w:t>
            </w:r>
          </w:p>
        </w:tc>
      </w:tr>
      <w:tr w:rsidR="004B2C4B" w:rsidRPr="00373647" w14:paraId="339A2981" w14:textId="77777777" w:rsidTr="004B2C4B">
        <w:tc>
          <w:tcPr>
            <w:tcW w:w="2538" w:type="dxa"/>
          </w:tcPr>
          <w:p w14:paraId="4FE393B1" w14:textId="77777777" w:rsidR="004B2C4B" w:rsidRPr="00373647" w:rsidRDefault="004B2C4B" w:rsidP="00663BCF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90" w:type="dxa"/>
          </w:tcPr>
          <w:p w14:paraId="68A5CD0F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3BB89789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5A7" w:rsidRPr="00373647" w14:paraId="4EBA6C83" w14:textId="77777777" w:rsidTr="004B2C4B">
        <w:tc>
          <w:tcPr>
            <w:tcW w:w="2538" w:type="dxa"/>
          </w:tcPr>
          <w:p w14:paraId="2AB923F4" w14:textId="1E8EE491" w:rsidR="007E15A7" w:rsidRPr="00373647" w:rsidRDefault="007E15A7" w:rsidP="00663BCF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690" w:type="dxa"/>
          </w:tcPr>
          <w:p w14:paraId="1BA50815" w14:textId="77777777" w:rsidR="007E15A7" w:rsidRPr="00373647" w:rsidRDefault="007E15A7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2533C933" w14:textId="77777777" w:rsidR="007E15A7" w:rsidRPr="00373647" w:rsidRDefault="007E15A7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C4B" w:rsidRPr="00373647" w14:paraId="36EC06F7" w14:textId="77777777" w:rsidTr="004B2C4B">
        <w:tc>
          <w:tcPr>
            <w:tcW w:w="2538" w:type="dxa"/>
          </w:tcPr>
          <w:p w14:paraId="3C36FF53" w14:textId="77777777" w:rsidR="004B2C4B" w:rsidRPr="00373647" w:rsidRDefault="004B2C4B" w:rsidP="00663BCF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690" w:type="dxa"/>
          </w:tcPr>
          <w:p w14:paraId="24EDD53E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531A66F1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C4B" w:rsidRPr="00373647" w14:paraId="36E19C17" w14:textId="77777777" w:rsidTr="004B2C4B">
        <w:tc>
          <w:tcPr>
            <w:tcW w:w="2538" w:type="dxa"/>
          </w:tcPr>
          <w:p w14:paraId="17D3FC49" w14:textId="77777777" w:rsidR="004B2C4B" w:rsidRPr="00373647" w:rsidRDefault="004B2C4B" w:rsidP="00663BCF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3690" w:type="dxa"/>
          </w:tcPr>
          <w:p w14:paraId="3A824C18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33AE0AD0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C4B" w:rsidRPr="00373647" w14:paraId="18696212" w14:textId="77777777" w:rsidTr="004B2C4B">
        <w:tc>
          <w:tcPr>
            <w:tcW w:w="2538" w:type="dxa"/>
          </w:tcPr>
          <w:p w14:paraId="082DDF9F" w14:textId="77777777" w:rsidR="004B2C4B" w:rsidRPr="00373647" w:rsidRDefault="004B2C4B" w:rsidP="00663BCF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Course number / title</w:t>
            </w:r>
          </w:p>
        </w:tc>
        <w:tc>
          <w:tcPr>
            <w:tcW w:w="3690" w:type="dxa"/>
          </w:tcPr>
          <w:p w14:paraId="62E89241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0F3FA9FF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C4B" w:rsidRPr="00373647" w14:paraId="243768BB" w14:textId="77777777" w:rsidTr="004B2C4B">
        <w:tc>
          <w:tcPr>
            <w:tcW w:w="2538" w:type="dxa"/>
          </w:tcPr>
          <w:p w14:paraId="1DE41C7D" w14:textId="77777777" w:rsidR="004B2C4B" w:rsidRPr="00373647" w:rsidRDefault="004B2C4B" w:rsidP="00663BCF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Semester / year offered</w:t>
            </w:r>
          </w:p>
        </w:tc>
        <w:tc>
          <w:tcPr>
            <w:tcW w:w="3690" w:type="dxa"/>
          </w:tcPr>
          <w:p w14:paraId="5325B9FB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695CB277" w14:textId="77777777" w:rsidR="004B2C4B" w:rsidRPr="00373647" w:rsidRDefault="004B2C4B" w:rsidP="00663BCF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B99E2E" w14:textId="77777777" w:rsidR="004B2C4B" w:rsidRPr="00373647" w:rsidRDefault="004B2C4B" w:rsidP="006E48F4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8FE253" w14:textId="77777777" w:rsidR="00EC09EE" w:rsidRDefault="00EC09EE" w:rsidP="00EC09EE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Include the following:</w:t>
      </w:r>
    </w:p>
    <w:p w14:paraId="3BFB837B" w14:textId="77F1C76C" w:rsidR="004B2C4B" w:rsidRPr="00373647" w:rsidRDefault="004B2C4B" w:rsidP="004B2C4B">
      <w:pPr>
        <w:widowControl w:val="0"/>
        <w:numPr>
          <w:ilvl w:val="0"/>
          <w:numId w:val="1"/>
        </w:numPr>
        <w:spacing w:after="120" w:line="240" w:lineRule="auto"/>
        <w:ind w:left="274" w:hanging="274"/>
        <w:rPr>
          <w:rFonts w:ascii="Times New Roman" w:eastAsia="Calibri" w:hAnsi="Times New Roman" w:cs="Times New Roman"/>
          <w:sz w:val="24"/>
          <w:szCs w:val="24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>Course information table –</w:t>
      </w:r>
      <w:r w:rsidR="00671B10" w:rsidRPr="00373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include a </w:t>
      </w:r>
      <w:r w:rsidRPr="00373647">
        <w:rPr>
          <w:rFonts w:ascii="Times New Roman" w:eastAsia="Calibri" w:hAnsi="Times New Roman" w:cs="Times New Roman"/>
          <w:i/>
          <w:sz w:val="24"/>
          <w:szCs w:val="24"/>
        </w:rPr>
        <w:t xml:space="preserve">single </w:t>
      </w:r>
      <w:r w:rsidR="007B23F5" w:rsidRPr="00373647">
        <w:rPr>
          <w:rFonts w:ascii="Times New Roman" w:eastAsia="Calibri" w:hAnsi="Times New Roman" w:cs="Times New Roman"/>
          <w:iCs/>
          <w:sz w:val="24"/>
          <w:szCs w:val="24"/>
        </w:rPr>
        <w:t>completed</w:t>
      </w:r>
      <w:r w:rsidR="00373647">
        <w:rPr>
          <w:rFonts w:ascii="Times New Roman" w:eastAsia="Calibri" w:hAnsi="Times New Roman" w:cs="Times New Roman"/>
          <w:iCs/>
          <w:sz w:val="24"/>
          <w:szCs w:val="24"/>
        </w:rPr>
        <w:t xml:space="preserve"> Global Learning C</w:t>
      </w:r>
      <w:r w:rsidRPr="00373647">
        <w:rPr>
          <w:rFonts w:ascii="Times New Roman" w:eastAsia="Calibri" w:hAnsi="Times New Roman" w:cs="Times New Roman"/>
          <w:sz w:val="24"/>
          <w:szCs w:val="24"/>
        </w:rPr>
        <w:t>ourse information table</w:t>
      </w:r>
      <w:r w:rsidR="007E15A7">
        <w:rPr>
          <w:rFonts w:ascii="Times New Roman" w:eastAsia="Calibri" w:hAnsi="Times New Roman" w:cs="Times New Roman"/>
          <w:sz w:val="24"/>
          <w:szCs w:val="24"/>
        </w:rPr>
        <w:t xml:space="preserve">. There are columns for two courses. </w:t>
      </w:r>
    </w:p>
    <w:p w14:paraId="3AEFD855" w14:textId="10B8480D" w:rsidR="004B2C4B" w:rsidRPr="00373647" w:rsidRDefault="004B2C4B" w:rsidP="004B2C4B">
      <w:pPr>
        <w:widowControl w:val="0"/>
        <w:numPr>
          <w:ilvl w:val="0"/>
          <w:numId w:val="1"/>
        </w:numPr>
        <w:spacing w:after="120" w:line="240" w:lineRule="auto"/>
        <w:ind w:left="274" w:hanging="274"/>
        <w:rPr>
          <w:rFonts w:ascii="Times New Roman" w:eastAsia="Calibri" w:hAnsi="Times New Roman" w:cs="Times New Roman"/>
          <w:sz w:val="24"/>
          <w:szCs w:val="24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>Syllabi –</w:t>
      </w:r>
      <w:r w:rsidR="00671B10" w:rsidRPr="00373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include </w:t>
      </w:r>
      <w:r w:rsidR="007B23F5" w:rsidRPr="00373647">
        <w:rPr>
          <w:rFonts w:ascii="Times New Roman" w:eastAsia="Calibri" w:hAnsi="Times New Roman" w:cs="Times New Roman"/>
          <w:sz w:val="24"/>
          <w:szCs w:val="24"/>
        </w:rPr>
        <w:t>your course</w:t>
      </w: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 syllabi.</w:t>
      </w:r>
    </w:p>
    <w:bookmarkEnd w:id="0"/>
    <w:p w14:paraId="4BB84562" w14:textId="475644BC" w:rsidR="00B01D46" w:rsidRPr="00B01D46" w:rsidRDefault="00B01D46" w:rsidP="00B01D46">
      <w:pPr>
        <w:widowControl w:val="0"/>
        <w:numPr>
          <w:ilvl w:val="0"/>
          <w:numId w:val="1"/>
        </w:numPr>
        <w:spacing w:after="120" w:line="240" w:lineRule="auto"/>
        <w:ind w:left="274" w:hanging="274"/>
        <w:rPr>
          <w:rFonts w:ascii="Times New Roman" w:eastAsia="Calibri" w:hAnsi="Times New Roman" w:cs="Times New Roman"/>
          <w:sz w:val="24"/>
          <w:szCs w:val="24"/>
        </w:rPr>
      </w:pPr>
      <w:r w:rsidRPr="00B01D46">
        <w:rPr>
          <w:rFonts w:ascii="Times New Roman" w:eastAsia="Calibri" w:hAnsi="Times New Roman" w:cs="Times New Roman"/>
          <w:sz w:val="24"/>
          <w:szCs w:val="24"/>
        </w:rPr>
        <w:t xml:space="preserve">Global Learning Courses are expected to </w:t>
      </w:r>
      <w:r w:rsidR="00EC09EE">
        <w:rPr>
          <w:rFonts w:ascii="Times New Roman" w:eastAsia="Calibri" w:hAnsi="Times New Roman" w:cs="Times New Roman"/>
          <w:sz w:val="24"/>
          <w:szCs w:val="24"/>
        </w:rPr>
        <w:t>meet</w:t>
      </w:r>
      <w:r w:rsidRPr="00B01D46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requirements listed below. </w:t>
      </w:r>
      <w:r w:rsidRPr="00373647">
        <w:rPr>
          <w:rFonts w:ascii="Times New Roman" w:eastAsia="Calibri" w:hAnsi="Times New Roman" w:cs="Times New Roman"/>
          <w:sz w:val="24"/>
          <w:szCs w:val="24"/>
        </w:rPr>
        <w:t>Are you willing and able to make changes to your course</w:t>
      </w:r>
      <w:r>
        <w:rPr>
          <w:rFonts w:ascii="Times New Roman" w:eastAsia="Calibri" w:hAnsi="Times New Roman" w:cs="Times New Roman"/>
          <w:sz w:val="24"/>
          <w:szCs w:val="24"/>
        </w:rPr>
        <w:t>s to meet these requirements?</w:t>
      </w:r>
    </w:p>
    <w:p w14:paraId="774A9318" w14:textId="2171E9D8" w:rsidR="00B01D46" w:rsidRPr="0044133B" w:rsidRDefault="00B01D46" w:rsidP="00B01D46">
      <w:pPr>
        <w:pStyle w:val="ListParagraph"/>
        <w:numPr>
          <w:ilvl w:val="0"/>
          <w:numId w:val="7"/>
        </w:numPr>
        <w:spacing w:after="80" w:line="240" w:lineRule="auto"/>
        <w:ind w:left="630" w:hanging="270"/>
        <w:contextualSpacing w:val="0"/>
        <w:rPr>
          <w:rFonts w:ascii="Times New Roman" w:hAnsi="Times New Roman" w:cs="Times New Roman"/>
          <w:sz w:val="24"/>
          <w:szCs w:val="24"/>
        </w:rPr>
      </w:pPr>
      <w:r w:rsidRPr="0044133B">
        <w:rPr>
          <w:rFonts w:ascii="Times New Roman" w:eastAsia="Times New Roman" w:hAnsi="Times New Roman" w:cs="Times New Roman"/>
          <w:sz w:val="24"/>
          <w:szCs w:val="24"/>
        </w:rPr>
        <w:t>Cultural competence</w:t>
      </w:r>
      <w:r w:rsidR="00416B27">
        <w:rPr>
          <w:rFonts w:ascii="Times New Roman" w:eastAsia="Times New Roman" w:hAnsi="Times New Roman" w:cs="Times New Roman"/>
          <w:sz w:val="24"/>
          <w:szCs w:val="24"/>
        </w:rPr>
        <w:t xml:space="preserve"> and/or global learning</w:t>
      </w:r>
      <w:r w:rsidRPr="0044133B">
        <w:rPr>
          <w:rFonts w:ascii="Times New Roman" w:hAnsi="Times New Roman" w:cs="Times New Roman"/>
          <w:sz w:val="24"/>
          <w:szCs w:val="24"/>
        </w:rPr>
        <w:t xml:space="preserve"> is an assessable course outcome. The Global Learning workshop is designed to assist instructors in meeting this expectation.</w:t>
      </w:r>
    </w:p>
    <w:p w14:paraId="02F9FF67" w14:textId="62ABBC2E" w:rsidR="00B01D46" w:rsidRPr="0044133B" w:rsidRDefault="00B01D46" w:rsidP="00B01D46">
      <w:pPr>
        <w:pStyle w:val="ListParagraph"/>
        <w:numPr>
          <w:ilvl w:val="0"/>
          <w:numId w:val="7"/>
        </w:numPr>
        <w:spacing w:after="80" w:line="240" w:lineRule="auto"/>
        <w:ind w:left="630" w:hanging="270"/>
        <w:contextualSpacing w:val="0"/>
        <w:rPr>
          <w:rFonts w:ascii="Times New Roman" w:hAnsi="Times New Roman" w:cs="Times New Roman"/>
          <w:sz w:val="24"/>
          <w:szCs w:val="24"/>
        </w:rPr>
      </w:pPr>
      <w:r w:rsidRPr="0044133B">
        <w:rPr>
          <w:rFonts w:ascii="Times New Roman" w:hAnsi="Times New Roman" w:cs="Times New Roman"/>
          <w:sz w:val="24"/>
          <w:szCs w:val="24"/>
        </w:rPr>
        <w:t xml:space="preserve">The courses </w:t>
      </w:r>
      <w:r w:rsidR="007E15A7">
        <w:rPr>
          <w:rFonts w:ascii="Times New Roman" w:hAnsi="Times New Roman" w:cs="Times New Roman"/>
          <w:sz w:val="24"/>
          <w:szCs w:val="24"/>
        </w:rPr>
        <w:t>have</w:t>
      </w:r>
      <w:r w:rsidRPr="0044133B">
        <w:rPr>
          <w:rFonts w:ascii="Times New Roman" w:hAnsi="Times New Roman" w:cs="Times New Roman"/>
          <w:sz w:val="24"/>
          <w:szCs w:val="24"/>
        </w:rPr>
        <w:t xml:space="preserve"> at</w:t>
      </w:r>
      <w:r w:rsidR="007E15A7">
        <w:rPr>
          <w:rFonts w:ascii="Times New Roman" w:hAnsi="Times New Roman" w:cs="Times New Roman"/>
          <w:sz w:val="24"/>
          <w:szCs w:val="24"/>
        </w:rPr>
        <w:t xml:space="preserve"> least</w:t>
      </w:r>
      <w:r w:rsidRPr="0044133B">
        <w:rPr>
          <w:rFonts w:ascii="Times New Roman" w:hAnsi="Times New Roman" w:cs="Times New Roman"/>
          <w:sz w:val="24"/>
          <w:szCs w:val="24"/>
        </w:rPr>
        <w:t xml:space="preserve"> </w:t>
      </w:r>
      <w:r w:rsidR="00416B27">
        <w:rPr>
          <w:rFonts w:ascii="Times New Roman" w:hAnsi="Times New Roman" w:cs="Times New Roman"/>
          <w:sz w:val="24"/>
          <w:szCs w:val="24"/>
        </w:rPr>
        <w:t>half</w:t>
      </w:r>
      <w:r w:rsidRPr="0044133B">
        <w:rPr>
          <w:rFonts w:ascii="Times New Roman" w:hAnsi="Times New Roman" w:cs="Times New Roman"/>
          <w:sz w:val="24"/>
          <w:szCs w:val="24"/>
        </w:rPr>
        <w:t xml:space="preserve"> of their syllabi</w:t>
      </w:r>
      <w:r w:rsidR="007E15A7">
        <w:rPr>
          <w:rFonts w:ascii="Times New Roman" w:hAnsi="Times New Roman" w:cs="Times New Roman"/>
          <w:sz w:val="24"/>
          <w:szCs w:val="24"/>
        </w:rPr>
        <w:t xml:space="preserve"> in common.</w:t>
      </w:r>
    </w:p>
    <w:p w14:paraId="4BC7B350" w14:textId="77777777" w:rsidR="00B01D46" w:rsidRPr="0044133B" w:rsidRDefault="00B01D46" w:rsidP="00B01D46">
      <w:pPr>
        <w:pStyle w:val="ListParagraph"/>
        <w:numPr>
          <w:ilvl w:val="0"/>
          <w:numId w:val="7"/>
        </w:numPr>
        <w:spacing w:after="80" w:line="240" w:lineRule="auto"/>
        <w:ind w:left="630" w:hanging="270"/>
        <w:contextualSpacing w:val="0"/>
        <w:rPr>
          <w:rFonts w:ascii="Times New Roman" w:hAnsi="Times New Roman" w:cs="Times New Roman"/>
          <w:sz w:val="24"/>
          <w:szCs w:val="24"/>
        </w:rPr>
      </w:pPr>
      <w:r w:rsidRPr="0044133B">
        <w:rPr>
          <w:rFonts w:ascii="Times New Roman" w:hAnsi="Times New Roman" w:cs="Times New Roman"/>
          <w:sz w:val="24"/>
          <w:szCs w:val="24"/>
        </w:rPr>
        <w:t>The common portion of the syllabi explores course topics through the cultures of the campuses’ host countries and/or the disciplinary perspectives of the connected courses.</w:t>
      </w:r>
    </w:p>
    <w:p w14:paraId="4736D3F0" w14:textId="77777777" w:rsidR="00B01D46" w:rsidRPr="0044133B" w:rsidRDefault="00B01D46" w:rsidP="00B01D46">
      <w:pPr>
        <w:pStyle w:val="ListParagraph"/>
        <w:numPr>
          <w:ilvl w:val="0"/>
          <w:numId w:val="7"/>
        </w:numPr>
        <w:spacing w:after="80" w:line="240" w:lineRule="auto"/>
        <w:ind w:left="630" w:hanging="270"/>
        <w:contextualSpacing w:val="0"/>
        <w:rPr>
          <w:rFonts w:ascii="Times New Roman" w:hAnsi="Times New Roman" w:cs="Times New Roman"/>
          <w:sz w:val="24"/>
          <w:szCs w:val="24"/>
        </w:rPr>
      </w:pPr>
      <w:r w:rsidRPr="0044133B">
        <w:rPr>
          <w:rFonts w:ascii="Times New Roman" w:hAnsi="Times New Roman" w:cs="Times New Roman"/>
          <w:sz w:val="24"/>
          <w:szCs w:val="24"/>
        </w:rPr>
        <w:t>There is significant interaction between the students through joint assignments involving cross-course groups resulting in a collaboratively developed product. Collaboration is between sets of partnered students and goes beyond mere exchange of information.</w:t>
      </w:r>
    </w:p>
    <w:p w14:paraId="1D6D80CC" w14:textId="77777777" w:rsidR="00B01D46" w:rsidRPr="0044133B" w:rsidRDefault="00B01D46" w:rsidP="00B01D46">
      <w:pPr>
        <w:pStyle w:val="ListParagraph"/>
        <w:numPr>
          <w:ilvl w:val="0"/>
          <w:numId w:val="7"/>
        </w:numPr>
        <w:spacing w:after="80" w:line="240" w:lineRule="auto"/>
        <w:ind w:left="630" w:hanging="270"/>
        <w:contextualSpacing w:val="0"/>
        <w:rPr>
          <w:rFonts w:ascii="Times New Roman" w:hAnsi="Times New Roman" w:cs="Times New Roman"/>
          <w:sz w:val="24"/>
          <w:szCs w:val="24"/>
        </w:rPr>
      </w:pPr>
      <w:r w:rsidRPr="0044133B">
        <w:rPr>
          <w:rFonts w:ascii="Times New Roman" w:hAnsi="Times New Roman" w:cs="Times New Roman"/>
          <w:sz w:val="24"/>
          <w:szCs w:val="24"/>
        </w:rPr>
        <w:t>Course instructors and students participate in course and program evaluation.</w:t>
      </w:r>
    </w:p>
    <w:p w14:paraId="6532A676" w14:textId="5C20732D" w:rsidR="00C81328" w:rsidRDefault="00C81328" w:rsidP="00C81328">
      <w:pPr>
        <w:pStyle w:val="ListParagraph"/>
        <w:numPr>
          <w:ilvl w:val="0"/>
          <w:numId w:val="7"/>
        </w:numPr>
        <w:spacing w:after="80" w:line="240" w:lineRule="auto"/>
        <w:ind w:left="630" w:hanging="27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69823869"/>
      <w:r>
        <w:rPr>
          <w:rFonts w:ascii="Times New Roman" w:hAnsi="Times New Roman" w:cs="Times New Roman"/>
          <w:sz w:val="24"/>
          <w:szCs w:val="24"/>
        </w:rPr>
        <w:t xml:space="preserve">Ideally, enrollment is capped </w:t>
      </w:r>
      <w:bookmarkEnd w:id="1"/>
      <w:r>
        <w:rPr>
          <w:rFonts w:ascii="Times New Roman" w:hAnsi="Times New Roman" w:cs="Times New Roman"/>
          <w:sz w:val="24"/>
          <w:szCs w:val="24"/>
        </w:rPr>
        <w:t>at 20</w:t>
      </w:r>
      <w:r w:rsidRPr="0001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 with each course having approximately the same number of students.</w:t>
      </w:r>
    </w:p>
    <w:p w14:paraId="1E4AF5C5" w14:textId="4D0E1BF4" w:rsidR="004B2C4B" w:rsidRPr="00B01D46" w:rsidRDefault="00B01D46" w:rsidP="004B2C4B">
      <w:pPr>
        <w:widowControl w:val="0"/>
        <w:numPr>
          <w:ilvl w:val="0"/>
          <w:numId w:val="1"/>
        </w:numPr>
        <w:spacing w:after="120" w:line="240" w:lineRule="auto"/>
        <w:ind w:left="274" w:hanging="274"/>
        <w:rPr>
          <w:rFonts w:ascii="Times New Roman" w:eastAsia="Calibri" w:hAnsi="Times New Roman" w:cs="Times New Roman"/>
          <w:sz w:val="24"/>
          <w:szCs w:val="24"/>
        </w:rPr>
      </w:pPr>
      <w:r w:rsidRPr="00B01D46">
        <w:rPr>
          <w:rFonts w:ascii="Times New Roman" w:eastAsia="Calibri" w:hAnsi="Times New Roman" w:cs="Times New Roman"/>
          <w:sz w:val="24"/>
          <w:szCs w:val="24"/>
        </w:rPr>
        <w:t>Please respond to the following</w:t>
      </w:r>
      <w:r w:rsidR="004B2C4B" w:rsidRPr="00B01D4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42F450" w14:textId="5E71293D" w:rsidR="00416B27" w:rsidRPr="00416B27" w:rsidRDefault="00416B27" w:rsidP="00B01D46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630" w:hanging="270"/>
        <w:contextualSpacing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What intercultural competence and/or global learning outcome(s) will your course develop?</w:t>
      </w:r>
    </w:p>
    <w:p w14:paraId="3CC34595" w14:textId="0B55B665" w:rsidR="00BE2893" w:rsidRPr="00373647" w:rsidRDefault="008147B8" w:rsidP="00B01D46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630" w:hanging="270"/>
        <w:contextualSpacing w:val="0"/>
        <w:rPr>
          <w:rFonts w:ascii="Times New Roman" w:hAnsi="Times New Roman" w:cs="Times New Roman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What goals do you have for yourself and your students in offering a Global </w:t>
      </w:r>
      <w:r w:rsidR="00671B10" w:rsidRPr="00373647">
        <w:rPr>
          <w:rFonts w:ascii="Times New Roman" w:eastAsia="Calibri" w:hAnsi="Times New Roman" w:cs="Times New Roman"/>
          <w:sz w:val="24"/>
          <w:szCs w:val="24"/>
        </w:rPr>
        <w:t>Learning</w:t>
      </w: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9EE">
        <w:rPr>
          <w:rFonts w:ascii="Times New Roman" w:eastAsia="Calibri" w:hAnsi="Times New Roman" w:cs="Times New Roman"/>
          <w:sz w:val="24"/>
          <w:szCs w:val="24"/>
        </w:rPr>
        <w:t>c</w:t>
      </w:r>
      <w:r w:rsidRPr="00373647">
        <w:rPr>
          <w:rFonts w:ascii="Times New Roman" w:eastAsia="Calibri" w:hAnsi="Times New Roman" w:cs="Times New Roman"/>
          <w:sz w:val="24"/>
          <w:szCs w:val="24"/>
        </w:rPr>
        <w:t>ourse?</w:t>
      </w:r>
    </w:p>
    <w:p w14:paraId="0887F1AD" w14:textId="6831E3E6" w:rsidR="00BE2893" w:rsidRPr="00373647" w:rsidRDefault="008147B8" w:rsidP="00B01D46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630" w:hanging="270"/>
        <w:contextualSpacing w:val="0"/>
        <w:rPr>
          <w:rFonts w:ascii="Times New Roman" w:hAnsi="Times New Roman" w:cs="Times New Roman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Which </w:t>
      </w:r>
      <w:r w:rsidR="00671B10" w:rsidRPr="00373647">
        <w:rPr>
          <w:rFonts w:ascii="Times New Roman" w:eastAsia="Calibri" w:hAnsi="Times New Roman" w:cs="Times New Roman"/>
          <w:sz w:val="24"/>
          <w:szCs w:val="24"/>
        </w:rPr>
        <w:t xml:space="preserve">course </w:t>
      </w:r>
      <w:r w:rsidRPr="00373647">
        <w:rPr>
          <w:rFonts w:ascii="Times New Roman" w:eastAsia="Calibri" w:hAnsi="Times New Roman" w:cs="Times New Roman"/>
          <w:sz w:val="24"/>
          <w:szCs w:val="24"/>
        </w:rPr>
        <w:t>topics h</w:t>
      </w:r>
      <w:r w:rsidR="00AF4105" w:rsidRPr="00373647">
        <w:rPr>
          <w:rFonts w:ascii="Times New Roman" w:eastAsia="Calibri" w:hAnsi="Times New Roman" w:cs="Times New Roman"/>
          <w:sz w:val="24"/>
          <w:szCs w:val="24"/>
        </w:rPr>
        <w:t xml:space="preserve">ave you </w:t>
      </w:r>
      <w:r w:rsidRPr="00373647">
        <w:rPr>
          <w:rFonts w:ascii="Times New Roman" w:eastAsia="Calibri" w:hAnsi="Times New Roman" w:cs="Times New Roman"/>
          <w:sz w:val="24"/>
          <w:szCs w:val="24"/>
        </w:rPr>
        <w:t>identified for connecting?</w:t>
      </w:r>
    </w:p>
    <w:p w14:paraId="13B2AD82" w14:textId="58F4080F" w:rsidR="00BE2893" w:rsidRPr="00373647" w:rsidRDefault="008147B8" w:rsidP="00B01D46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630" w:hanging="27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What ideas do you have for students </w:t>
      </w:r>
      <w:r w:rsidR="00EC09EE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373647">
        <w:rPr>
          <w:rFonts w:ascii="Times New Roman" w:eastAsia="Calibri" w:hAnsi="Times New Roman" w:cs="Times New Roman"/>
          <w:sz w:val="24"/>
          <w:szCs w:val="24"/>
        </w:rPr>
        <w:t>interact</w:t>
      </w:r>
      <w:r w:rsidR="00B01D46">
        <w:rPr>
          <w:rFonts w:ascii="Times New Roman" w:eastAsia="Calibri" w:hAnsi="Times New Roman" w:cs="Times New Roman"/>
          <w:sz w:val="24"/>
          <w:szCs w:val="24"/>
        </w:rPr>
        <w:t xml:space="preserve"> across the courses</w:t>
      </w:r>
      <w:r w:rsidRPr="00373647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8B704C8" w14:textId="21345870" w:rsidR="00BE2893" w:rsidRPr="00373647" w:rsidRDefault="008147B8" w:rsidP="00B01D46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630" w:hanging="27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lastRenderedPageBreak/>
        <w:t>If the enrollment for either course is over 20, how will you accommodate this number of students?</w:t>
      </w:r>
    </w:p>
    <w:p w14:paraId="303F3B1C" w14:textId="40E4B659" w:rsidR="00BE2893" w:rsidRPr="00373647" w:rsidRDefault="008147B8" w:rsidP="00B01D46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630" w:hanging="27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>If the enrollment for the two courses is not roughly equal, how will you handle the imbalance?</w:t>
      </w:r>
    </w:p>
    <w:p w14:paraId="04CB5B78" w14:textId="122D8C43" w:rsidR="00BE2893" w:rsidRPr="00373647" w:rsidRDefault="00EE1409" w:rsidP="00B01D46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630" w:hanging="27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gjdgxs" w:colFirst="0" w:colLast="0"/>
      <w:bookmarkEnd w:id="2"/>
      <w:r>
        <w:rPr>
          <w:rFonts w:ascii="Times New Roman" w:eastAsia="Calibri" w:hAnsi="Times New Roman" w:cs="Times New Roman"/>
          <w:sz w:val="24"/>
          <w:szCs w:val="24"/>
        </w:rPr>
        <w:t>Planning and executing Global Learning courses require</w:t>
      </w:r>
      <w:r w:rsidR="00B01D46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more time than traditional courses and Globally Connected Courses. </w:t>
      </w:r>
      <w:r w:rsidR="008147B8" w:rsidRPr="00373647">
        <w:rPr>
          <w:rFonts w:ascii="Times New Roman" w:eastAsia="Calibri" w:hAnsi="Times New Roman" w:cs="Times New Roman"/>
          <w:sz w:val="24"/>
          <w:szCs w:val="24"/>
        </w:rPr>
        <w:t xml:space="preserve">Thinking </w:t>
      </w:r>
      <w:r w:rsidR="00B01D46">
        <w:rPr>
          <w:rFonts w:ascii="Times New Roman" w:eastAsia="Calibri" w:hAnsi="Times New Roman" w:cs="Times New Roman"/>
          <w:sz w:val="24"/>
          <w:szCs w:val="24"/>
        </w:rPr>
        <w:t xml:space="preserve">realistically </w:t>
      </w:r>
      <w:r w:rsidR="008147B8" w:rsidRPr="00373647">
        <w:rPr>
          <w:rFonts w:ascii="Times New Roman" w:eastAsia="Calibri" w:hAnsi="Times New Roman" w:cs="Times New Roman"/>
          <w:sz w:val="24"/>
          <w:szCs w:val="24"/>
        </w:rPr>
        <w:t>about other demands on your time, are you able to commit the time needed to make the course connection a success?</w:t>
      </w:r>
    </w:p>
    <w:p w14:paraId="641612F5" w14:textId="77777777" w:rsidR="00257EE6" w:rsidRPr="00373647" w:rsidRDefault="00257EE6" w:rsidP="00257EE6">
      <w:pPr>
        <w:widowControl w:val="0"/>
        <w:spacing w:after="120" w:line="240" w:lineRule="auto"/>
        <w:rPr>
          <w:rFonts w:ascii="Times New Roman" w:hAnsi="Times New Roman" w:cs="Times New Roman"/>
        </w:rPr>
      </w:pPr>
    </w:p>
    <w:sectPr w:rsidR="00257EE6" w:rsidRPr="003736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0F1A"/>
    <w:multiLevelType w:val="hybridMultilevel"/>
    <w:tmpl w:val="2B2CB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90FB7"/>
    <w:multiLevelType w:val="multilevel"/>
    <w:tmpl w:val="963ABBB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" w15:restartNumberingAfterBreak="0">
    <w:nsid w:val="30EF7B79"/>
    <w:multiLevelType w:val="multilevel"/>
    <w:tmpl w:val="261A2EFC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" w15:restartNumberingAfterBreak="0">
    <w:nsid w:val="36B46329"/>
    <w:multiLevelType w:val="multilevel"/>
    <w:tmpl w:val="BC92DE34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" w15:restartNumberingAfterBreak="0">
    <w:nsid w:val="39884917"/>
    <w:multiLevelType w:val="multilevel"/>
    <w:tmpl w:val="806C17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63EA5F40"/>
    <w:multiLevelType w:val="multilevel"/>
    <w:tmpl w:val="B598364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6F043C1D"/>
    <w:multiLevelType w:val="hybridMultilevel"/>
    <w:tmpl w:val="A97459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893"/>
    <w:rsid w:val="002068AF"/>
    <w:rsid w:val="00257EE6"/>
    <w:rsid w:val="002B29B6"/>
    <w:rsid w:val="00354B45"/>
    <w:rsid w:val="00373647"/>
    <w:rsid w:val="00395613"/>
    <w:rsid w:val="00416B27"/>
    <w:rsid w:val="0044133B"/>
    <w:rsid w:val="004A3DCF"/>
    <w:rsid w:val="004B2C4B"/>
    <w:rsid w:val="00671B10"/>
    <w:rsid w:val="006B3519"/>
    <w:rsid w:val="006E48F4"/>
    <w:rsid w:val="007B23F5"/>
    <w:rsid w:val="007E15A7"/>
    <w:rsid w:val="008147B8"/>
    <w:rsid w:val="00855131"/>
    <w:rsid w:val="00861B5C"/>
    <w:rsid w:val="008F6C97"/>
    <w:rsid w:val="009D4556"/>
    <w:rsid w:val="009D4727"/>
    <w:rsid w:val="00A162C9"/>
    <w:rsid w:val="00AF4105"/>
    <w:rsid w:val="00B01D46"/>
    <w:rsid w:val="00BE2893"/>
    <w:rsid w:val="00C81328"/>
    <w:rsid w:val="00D10C9D"/>
    <w:rsid w:val="00E242E5"/>
    <w:rsid w:val="00E375D0"/>
    <w:rsid w:val="00EC09EE"/>
    <w:rsid w:val="00EC1826"/>
    <w:rsid w:val="00E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154C"/>
  <w15:docId w15:val="{0C9C4360-2485-4AFB-BDA9-A7E6AB34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F4105"/>
    <w:pPr>
      <w:ind w:left="720"/>
      <w:contextualSpacing/>
    </w:pPr>
  </w:style>
  <w:style w:type="table" w:styleId="TableGrid">
    <w:name w:val="Table Grid"/>
    <w:basedOn w:val="TableNormal"/>
    <w:uiPriority w:val="39"/>
    <w:rsid w:val="004B2C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y@gl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Gray</cp:lastModifiedBy>
  <cp:revision>24</cp:revision>
  <dcterms:created xsi:type="dcterms:W3CDTF">2017-02-06T17:16:00Z</dcterms:created>
  <dcterms:modified xsi:type="dcterms:W3CDTF">2021-05-27T19:23:00Z</dcterms:modified>
</cp:coreProperties>
</file>